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8B6B" w14:textId="77777777" w:rsidR="00391522" w:rsidRPr="00391522" w:rsidRDefault="00391522" w:rsidP="00391522">
      <w:pPr>
        <w:rPr>
          <w:rFonts w:ascii="Aptos" w:hAnsi="Aptos"/>
          <w:b/>
          <w:bCs/>
          <w:sz w:val="28"/>
          <w:szCs w:val="28"/>
          <w:lang w:val="en-US"/>
        </w:rPr>
      </w:pPr>
      <w:r w:rsidRPr="00391522">
        <w:rPr>
          <w:rFonts w:ascii="Aptos" w:hAnsi="Aptos"/>
          <w:b/>
          <w:bCs/>
          <w:sz w:val="28"/>
          <w:szCs w:val="28"/>
          <w:lang w:val="en-US"/>
        </w:rPr>
        <w:t>Vitamin B12 Deficiency – Patient Information Leaflet</w:t>
      </w:r>
    </w:p>
    <w:p w14:paraId="7D0768E6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What is Vitamin B12?</w:t>
      </w:r>
    </w:p>
    <w:p w14:paraId="20504860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>Vitamin B12 is a water-soluble vitamin essential for healthy nerves, red blood cells, and DNA production. It’s found in animal products like meat, fish, dairy, and eggs.</w:t>
      </w:r>
    </w:p>
    <w:p w14:paraId="42F5586D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What is Vitamin B12 Deficiency?</w:t>
      </w:r>
    </w:p>
    <w:p w14:paraId="594E275C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 xml:space="preserve">Vitamin B12 deficiency occurs when your body doesn’t have enough B12 to function properly. It can lead to </w:t>
      </w:r>
      <w:proofErr w:type="spellStart"/>
      <w:r w:rsidRPr="00391522">
        <w:rPr>
          <w:rFonts w:ascii="Aptos" w:hAnsi="Aptos"/>
          <w:lang w:val="en-US"/>
        </w:rPr>
        <w:t>anaemia</w:t>
      </w:r>
      <w:proofErr w:type="spellEnd"/>
      <w:r w:rsidRPr="00391522">
        <w:rPr>
          <w:rFonts w:ascii="Aptos" w:hAnsi="Aptos"/>
          <w:lang w:val="en-US"/>
        </w:rPr>
        <w:t xml:space="preserve"> and neurological problems if untreated.</w:t>
      </w:r>
    </w:p>
    <w:p w14:paraId="2648E57E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Symptoms of B12 Deficiency</w:t>
      </w:r>
    </w:p>
    <w:p w14:paraId="5598C9EB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>- Fatigue or weakness</w:t>
      </w:r>
      <w:r w:rsidRPr="00391522">
        <w:rPr>
          <w:rFonts w:ascii="Aptos" w:hAnsi="Aptos"/>
          <w:lang w:val="en-US"/>
        </w:rPr>
        <w:br/>
        <w:t>- Pale or yellow skin</w:t>
      </w:r>
      <w:r w:rsidRPr="00391522">
        <w:rPr>
          <w:rFonts w:ascii="Aptos" w:hAnsi="Aptos"/>
          <w:lang w:val="en-US"/>
        </w:rPr>
        <w:br/>
        <w:t>- Pins and needles (</w:t>
      </w:r>
      <w:proofErr w:type="spellStart"/>
      <w:r w:rsidRPr="00391522">
        <w:rPr>
          <w:rFonts w:ascii="Aptos" w:hAnsi="Aptos"/>
          <w:lang w:val="en-US"/>
        </w:rPr>
        <w:t>paraesthesia</w:t>
      </w:r>
      <w:proofErr w:type="spellEnd"/>
      <w:r w:rsidRPr="00391522">
        <w:rPr>
          <w:rFonts w:ascii="Aptos" w:hAnsi="Aptos"/>
          <w:lang w:val="en-US"/>
        </w:rPr>
        <w:t>)</w:t>
      </w:r>
      <w:r w:rsidRPr="00391522">
        <w:rPr>
          <w:rFonts w:ascii="Aptos" w:hAnsi="Aptos"/>
          <w:lang w:val="en-US"/>
        </w:rPr>
        <w:br/>
        <w:t>- Difficulty walking or balance problems</w:t>
      </w:r>
      <w:r w:rsidRPr="00391522">
        <w:rPr>
          <w:rFonts w:ascii="Aptos" w:hAnsi="Aptos"/>
          <w:lang w:val="en-US"/>
        </w:rPr>
        <w:br/>
        <w:t>- Sore tongue or mouth ulcers</w:t>
      </w:r>
      <w:r w:rsidRPr="00391522">
        <w:rPr>
          <w:rFonts w:ascii="Aptos" w:hAnsi="Aptos"/>
          <w:lang w:val="en-US"/>
        </w:rPr>
        <w:br/>
        <w:t>- Memory issues or mood changes</w:t>
      </w:r>
      <w:r w:rsidRPr="00391522">
        <w:rPr>
          <w:rFonts w:ascii="Aptos" w:hAnsi="Aptos"/>
          <w:lang w:val="en-US"/>
        </w:rPr>
        <w:br/>
        <w:t>- Breathlessness and dizziness</w:t>
      </w:r>
    </w:p>
    <w:p w14:paraId="61873095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Common Causes</w:t>
      </w:r>
    </w:p>
    <w:p w14:paraId="1A5FB9C5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 xml:space="preserve">- Pernicious </w:t>
      </w:r>
      <w:proofErr w:type="spellStart"/>
      <w:r w:rsidRPr="00391522">
        <w:rPr>
          <w:rFonts w:ascii="Aptos" w:hAnsi="Aptos"/>
          <w:lang w:val="en-US"/>
        </w:rPr>
        <w:t>anaemia</w:t>
      </w:r>
      <w:proofErr w:type="spellEnd"/>
      <w:r w:rsidRPr="00391522">
        <w:rPr>
          <w:rFonts w:ascii="Aptos" w:hAnsi="Aptos"/>
          <w:lang w:val="en-US"/>
        </w:rPr>
        <w:t xml:space="preserve"> (autoimmune condition)</w:t>
      </w:r>
      <w:r w:rsidRPr="00391522">
        <w:rPr>
          <w:rFonts w:ascii="Aptos" w:hAnsi="Aptos"/>
          <w:lang w:val="en-US"/>
        </w:rPr>
        <w:br/>
        <w:t>- Dietary deficiency (e.g., vegan diet without supplementation)</w:t>
      </w:r>
      <w:r w:rsidRPr="00391522">
        <w:rPr>
          <w:rFonts w:ascii="Aptos" w:hAnsi="Aptos"/>
          <w:lang w:val="en-US"/>
        </w:rPr>
        <w:br/>
        <w:t>- Malabsorption (e.g., after gastric surgery or in coeliac disease)</w:t>
      </w:r>
      <w:r w:rsidRPr="00391522">
        <w:rPr>
          <w:rFonts w:ascii="Aptos" w:hAnsi="Aptos"/>
          <w:lang w:val="en-US"/>
        </w:rPr>
        <w:br/>
        <w:t>- Certain medications (e.g., metformin, proton pump inhibitors)</w:t>
      </w:r>
    </w:p>
    <w:p w14:paraId="656674C9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Diagnosis</w:t>
      </w:r>
    </w:p>
    <w:p w14:paraId="269B2208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>Diagnosis is made by blood tests measuring B12 levels, full blood count (FBC), and sometimes methylmalonic acid (MMA) or homocysteine. Ferritin and folate may also be tested.</w:t>
      </w:r>
    </w:p>
    <w:p w14:paraId="28754CAC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Treatment (based on NICE and All-Wales guidance)</w:t>
      </w:r>
    </w:p>
    <w:p w14:paraId="370B2C11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b/>
          <w:bCs/>
          <w:lang w:val="en-US"/>
        </w:rPr>
        <w:t>1</w:t>
      </w:r>
      <w:r w:rsidRPr="00391522">
        <w:rPr>
          <w:rFonts w:ascii="Aptos" w:hAnsi="Aptos"/>
          <w:lang w:val="en-US"/>
        </w:rPr>
        <w:t>. **Hydroxocobalamin injections** (</w:t>
      </w:r>
      <w:proofErr w:type="gramStart"/>
      <w:r w:rsidRPr="00391522">
        <w:rPr>
          <w:rFonts w:ascii="Aptos" w:hAnsi="Aptos"/>
          <w:lang w:val="en-US"/>
        </w:rPr>
        <w:t>first-line</w:t>
      </w:r>
      <w:proofErr w:type="gramEnd"/>
      <w:r w:rsidRPr="00391522">
        <w:rPr>
          <w:rFonts w:ascii="Aptos" w:hAnsi="Aptos"/>
          <w:lang w:val="en-US"/>
        </w:rPr>
        <w:t xml:space="preserve"> in the UK):</w:t>
      </w:r>
      <w:r w:rsidRPr="00391522">
        <w:rPr>
          <w:rFonts w:ascii="Aptos" w:hAnsi="Aptos"/>
          <w:lang w:val="en-US"/>
        </w:rPr>
        <w:br/>
        <w:t>- 1 mg intramuscularly every other day for 2 weeks for those with neurological symptoms</w:t>
      </w:r>
      <w:r w:rsidRPr="00391522">
        <w:rPr>
          <w:rFonts w:ascii="Aptos" w:hAnsi="Aptos"/>
          <w:lang w:val="en-US"/>
        </w:rPr>
        <w:br/>
        <w:t xml:space="preserve">- Then every 2–3 months long term if the cause is irreversible (e.g., pernicious </w:t>
      </w:r>
      <w:proofErr w:type="spellStart"/>
      <w:r w:rsidRPr="00391522">
        <w:rPr>
          <w:rFonts w:ascii="Aptos" w:hAnsi="Aptos"/>
          <w:lang w:val="en-US"/>
        </w:rPr>
        <w:t>anaemia</w:t>
      </w:r>
      <w:proofErr w:type="spellEnd"/>
      <w:r w:rsidRPr="00391522">
        <w:rPr>
          <w:rFonts w:ascii="Aptos" w:hAnsi="Aptos"/>
          <w:lang w:val="en-US"/>
        </w:rPr>
        <w:t>)</w:t>
      </w:r>
      <w:r w:rsidRPr="00391522">
        <w:rPr>
          <w:rFonts w:ascii="Aptos" w:hAnsi="Aptos"/>
          <w:lang w:val="en-US"/>
        </w:rPr>
        <w:br/>
      </w:r>
      <w:r w:rsidRPr="00391522">
        <w:rPr>
          <w:rFonts w:ascii="Aptos" w:hAnsi="Aptos"/>
          <w:lang w:val="en-US"/>
        </w:rPr>
        <w:br/>
      </w:r>
      <w:r w:rsidRPr="00391522">
        <w:rPr>
          <w:rFonts w:ascii="Aptos" w:hAnsi="Aptos"/>
          <w:b/>
          <w:bCs/>
          <w:lang w:val="en-US"/>
        </w:rPr>
        <w:t>2</w:t>
      </w:r>
      <w:r w:rsidRPr="00391522">
        <w:rPr>
          <w:rFonts w:ascii="Aptos" w:hAnsi="Aptos"/>
          <w:lang w:val="en-US"/>
        </w:rPr>
        <w:t>. **Oral B12 supplements**:</w:t>
      </w:r>
      <w:r w:rsidRPr="00391522">
        <w:rPr>
          <w:rFonts w:ascii="Aptos" w:hAnsi="Aptos"/>
          <w:lang w:val="en-US"/>
        </w:rPr>
        <w:br/>
        <w:t>- Used for dietary deficiency with no absorption issues</w:t>
      </w:r>
      <w:r w:rsidRPr="00391522">
        <w:rPr>
          <w:rFonts w:ascii="Aptos" w:hAnsi="Aptos"/>
          <w:lang w:val="en-US"/>
        </w:rPr>
        <w:br/>
        <w:t>- Typically 50–150 micrograms daily, sometimes higher depending on brand</w:t>
      </w:r>
      <w:r w:rsidRPr="00391522">
        <w:rPr>
          <w:rFonts w:ascii="Aptos" w:hAnsi="Aptos"/>
          <w:lang w:val="en-US"/>
        </w:rPr>
        <w:br/>
      </w:r>
      <w:r w:rsidRPr="00391522">
        <w:rPr>
          <w:rFonts w:ascii="Aptos" w:hAnsi="Aptos"/>
          <w:lang w:val="en-US"/>
        </w:rPr>
        <w:br/>
      </w:r>
      <w:r w:rsidRPr="00391522">
        <w:rPr>
          <w:rFonts w:ascii="Aptos" w:hAnsi="Aptos"/>
          <w:b/>
          <w:bCs/>
          <w:lang w:val="en-US"/>
        </w:rPr>
        <w:t>3</w:t>
      </w:r>
      <w:r w:rsidRPr="00391522">
        <w:rPr>
          <w:rFonts w:ascii="Aptos" w:hAnsi="Aptos"/>
          <w:lang w:val="en-US"/>
        </w:rPr>
        <w:t>. **Dietary advice**:</w:t>
      </w:r>
      <w:r w:rsidRPr="00391522">
        <w:rPr>
          <w:rFonts w:ascii="Aptos" w:hAnsi="Aptos"/>
          <w:lang w:val="en-US"/>
        </w:rPr>
        <w:br/>
        <w:t>- Include B12-rich foods (meat, dairy, eggs, fortified cereals)</w:t>
      </w:r>
      <w:r w:rsidRPr="00391522">
        <w:rPr>
          <w:rFonts w:ascii="Aptos" w:hAnsi="Aptos"/>
          <w:lang w:val="en-US"/>
        </w:rPr>
        <w:br/>
        <w:t>- Vegans should take regular oral B12 or fortified foods</w:t>
      </w:r>
    </w:p>
    <w:p w14:paraId="50570FBF" w14:textId="77777777" w:rsidR="00391522" w:rsidRDefault="00391522" w:rsidP="00391522">
      <w:pPr>
        <w:rPr>
          <w:rFonts w:ascii="Aptos" w:hAnsi="Aptos"/>
          <w:b/>
          <w:bCs/>
          <w:lang w:val="en-US"/>
        </w:rPr>
      </w:pPr>
    </w:p>
    <w:p w14:paraId="42A649E3" w14:textId="0DAA10E6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lastRenderedPageBreak/>
        <w:t>Monitoring and Follow-up</w:t>
      </w:r>
    </w:p>
    <w:p w14:paraId="006D6EC6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>- Repeat blood tests after 8–12 weeks of treatment to check response</w:t>
      </w:r>
      <w:r w:rsidRPr="00391522">
        <w:rPr>
          <w:rFonts w:ascii="Aptos" w:hAnsi="Aptos"/>
          <w:lang w:val="en-US"/>
        </w:rPr>
        <w:br/>
        <w:t>- Monitor neurological symptoms closely if present</w:t>
      </w:r>
      <w:r w:rsidRPr="00391522">
        <w:rPr>
          <w:rFonts w:ascii="Aptos" w:hAnsi="Aptos"/>
          <w:lang w:val="en-US"/>
        </w:rPr>
        <w:br/>
        <w:t>- For lifelong conditions, continue injections every 3 months</w:t>
      </w:r>
      <w:r w:rsidRPr="00391522">
        <w:rPr>
          <w:rFonts w:ascii="Aptos" w:hAnsi="Aptos"/>
          <w:lang w:val="en-US"/>
        </w:rPr>
        <w:br/>
        <w:t>- Annual review and blood test if required by your GP</w:t>
      </w:r>
    </w:p>
    <w:p w14:paraId="013F453A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When to Seek Medical Advice</w:t>
      </w:r>
    </w:p>
    <w:p w14:paraId="734F6463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>- If symptoms persist despite treatment</w:t>
      </w:r>
      <w:r w:rsidRPr="00391522">
        <w:rPr>
          <w:rFonts w:ascii="Aptos" w:hAnsi="Aptos"/>
          <w:lang w:val="en-US"/>
        </w:rPr>
        <w:br/>
        <w:t>- If you experience new symptoms such as numbness, confusion, or walking difficulty</w:t>
      </w:r>
      <w:r w:rsidRPr="00391522">
        <w:rPr>
          <w:rFonts w:ascii="Aptos" w:hAnsi="Aptos"/>
          <w:lang w:val="en-US"/>
        </w:rPr>
        <w:br/>
        <w:t>- If you are pregnant or planning pregnancy and have a history of B12 deficiency</w:t>
      </w:r>
    </w:p>
    <w:p w14:paraId="47CB16A5" w14:textId="77777777" w:rsidR="00391522" w:rsidRPr="00391522" w:rsidRDefault="00391522" w:rsidP="00391522">
      <w:pPr>
        <w:rPr>
          <w:rFonts w:ascii="Aptos" w:hAnsi="Aptos"/>
          <w:b/>
          <w:bCs/>
          <w:lang w:val="en-US"/>
        </w:rPr>
      </w:pPr>
      <w:r w:rsidRPr="00391522">
        <w:rPr>
          <w:rFonts w:ascii="Aptos" w:hAnsi="Aptos"/>
          <w:b/>
          <w:bCs/>
          <w:lang w:val="en-US"/>
        </w:rPr>
        <w:t>Key Messages</w:t>
      </w:r>
    </w:p>
    <w:p w14:paraId="5530A004" w14:textId="77777777" w:rsidR="00391522" w:rsidRPr="00391522" w:rsidRDefault="00391522" w:rsidP="00391522">
      <w:pPr>
        <w:rPr>
          <w:rFonts w:ascii="Aptos" w:hAnsi="Aptos"/>
          <w:lang w:val="en-US"/>
        </w:rPr>
      </w:pPr>
      <w:r w:rsidRPr="00391522">
        <w:rPr>
          <w:rFonts w:ascii="Aptos" w:hAnsi="Aptos"/>
          <w:lang w:val="en-US"/>
        </w:rPr>
        <w:t>- B12 is essential for blood and nerve health</w:t>
      </w:r>
      <w:r w:rsidRPr="00391522">
        <w:rPr>
          <w:rFonts w:ascii="Aptos" w:hAnsi="Aptos"/>
          <w:lang w:val="en-US"/>
        </w:rPr>
        <w:br/>
        <w:t>- Early treatment prevents complications</w:t>
      </w:r>
      <w:r w:rsidRPr="00391522">
        <w:rPr>
          <w:rFonts w:ascii="Aptos" w:hAnsi="Aptos"/>
          <w:lang w:val="en-US"/>
        </w:rPr>
        <w:br/>
        <w:t>- Long-term treatment may be needed in some cases</w:t>
      </w:r>
      <w:r w:rsidRPr="00391522">
        <w:rPr>
          <w:rFonts w:ascii="Aptos" w:hAnsi="Aptos"/>
          <w:lang w:val="en-US"/>
        </w:rPr>
        <w:br/>
        <w:t>- A balanced diet or supplementation can help prevent recurrence</w:t>
      </w:r>
    </w:p>
    <w:p w14:paraId="2EB706E3" w14:textId="63038800" w:rsidR="00291CE3" w:rsidRPr="00391522" w:rsidRDefault="00291CE3" w:rsidP="006076E9">
      <w:pPr>
        <w:rPr>
          <w:rFonts w:ascii="Aptos" w:hAnsi="Aptos"/>
        </w:rPr>
      </w:pPr>
    </w:p>
    <w:sectPr w:rsidR="00291CE3" w:rsidRPr="00391522" w:rsidSect="00B04EDC">
      <w:headerReference w:type="default" r:id="rId7"/>
      <w:footerReference w:type="default" r:id="rId8"/>
      <w:pgSz w:w="11900" w:h="16840"/>
      <w:pgMar w:top="2835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DD85" w14:textId="77777777" w:rsidR="00F93831" w:rsidRDefault="00F93831" w:rsidP="009C55D6">
      <w:r>
        <w:separator/>
      </w:r>
    </w:p>
  </w:endnote>
  <w:endnote w:type="continuationSeparator" w:id="0">
    <w:p w14:paraId="77320368" w14:textId="77777777" w:rsidR="00F93831" w:rsidRDefault="00F93831" w:rsidP="009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1862"/>
      <w:gridCol w:w="1667"/>
      <w:gridCol w:w="1842"/>
      <w:gridCol w:w="1781"/>
    </w:tblGrid>
    <w:tr w:rsidR="00B65A6E" w14:paraId="052FCD57" w14:textId="77777777" w:rsidTr="00B65A6E">
      <w:tc>
        <w:tcPr>
          <w:tcW w:w="1868" w:type="dxa"/>
          <w:tcBorders>
            <w:right w:val="single" w:sz="4" w:space="0" w:color="auto"/>
          </w:tcBorders>
        </w:tcPr>
        <w:p w14:paraId="7CC547E4" w14:textId="73E9096E" w:rsidR="00B65A6E" w:rsidRDefault="00B65A6E" w:rsidP="00F93831">
          <w:pPr>
            <w:pStyle w:val="Footer"/>
            <w:jc w:val="center"/>
          </w:pPr>
          <w:r>
            <w:t>Dr I Thomas</w:t>
          </w:r>
        </w:p>
      </w:tc>
      <w:tc>
        <w:tcPr>
          <w:tcW w:w="1862" w:type="dxa"/>
          <w:tcBorders>
            <w:left w:val="single" w:sz="4" w:space="0" w:color="auto"/>
            <w:right w:val="single" w:sz="4" w:space="0" w:color="auto"/>
          </w:tcBorders>
        </w:tcPr>
        <w:p w14:paraId="3763F5F5" w14:textId="57A0665A" w:rsidR="00B65A6E" w:rsidRDefault="00B65A6E" w:rsidP="00F93831">
          <w:pPr>
            <w:pStyle w:val="Footer"/>
            <w:jc w:val="center"/>
          </w:pPr>
          <w:r>
            <w:t>Dr K Truman</w:t>
          </w:r>
        </w:p>
      </w:tc>
      <w:tc>
        <w:tcPr>
          <w:tcW w:w="1667" w:type="dxa"/>
          <w:tcBorders>
            <w:left w:val="single" w:sz="4" w:space="0" w:color="auto"/>
            <w:right w:val="single" w:sz="4" w:space="0" w:color="auto"/>
          </w:tcBorders>
        </w:tcPr>
        <w:p w14:paraId="545E911F" w14:textId="61D294B2" w:rsidR="00B65A6E" w:rsidRDefault="00B65A6E" w:rsidP="00F93831">
          <w:pPr>
            <w:pStyle w:val="Footer"/>
            <w:jc w:val="center"/>
          </w:pPr>
          <w:r>
            <w:t>Dr L Adams</w:t>
          </w:r>
        </w:p>
      </w:tc>
      <w:tc>
        <w:tcPr>
          <w:tcW w:w="1842" w:type="dxa"/>
          <w:tcBorders>
            <w:left w:val="single" w:sz="4" w:space="0" w:color="auto"/>
            <w:right w:val="single" w:sz="4" w:space="0" w:color="auto"/>
          </w:tcBorders>
        </w:tcPr>
        <w:p w14:paraId="10DF82DC" w14:textId="4A0C0FB2" w:rsidR="00B65A6E" w:rsidRDefault="00B65A6E" w:rsidP="00F93831">
          <w:pPr>
            <w:pStyle w:val="Footer"/>
            <w:jc w:val="center"/>
          </w:pPr>
          <w:r>
            <w:t>Dr C Chiu</w:t>
          </w:r>
        </w:p>
      </w:tc>
      <w:tc>
        <w:tcPr>
          <w:tcW w:w="1781" w:type="dxa"/>
          <w:tcBorders>
            <w:left w:val="single" w:sz="4" w:space="0" w:color="auto"/>
          </w:tcBorders>
        </w:tcPr>
        <w:p w14:paraId="69ABF701" w14:textId="69828490" w:rsidR="00B65A6E" w:rsidRDefault="00B65A6E" w:rsidP="00F93831">
          <w:pPr>
            <w:pStyle w:val="Footer"/>
            <w:jc w:val="center"/>
          </w:pPr>
          <w:r>
            <w:t>Dr Z Ansar</w:t>
          </w:r>
        </w:p>
      </w:tc>
    </w:tr>
  </w:tbl>
  <w:p w14:paraId="5E5E33EF" w14:textId="77777777" w:rsidR="00F93831" w:rsidRDefault="00F93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9DF5" w14:textId="77777777" w:rsidR="00F93831" w:rsidRDefault="00F93831" w:rsidP="009C55D6">
      <w:r>
        <w:separator/>
      </w:r>
    </w:p>
  </w:footnote>
  <w:footnote w:type="continuationSeparator" w:id="0">
    <w:p w14:paraId="60C25A68" w14:textId="77777777" w:rsidR="00F93831" w:rsidRDefault="00F93831" w:rsidP="009C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C7B9" w14:textId="77777777" w:rsidR="009C55D6" w:rsidRDefault="009C55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CE7DF1" wp14:editId="2BC258C0">
          <wp:simplePos x="0" y="0"/>
          <wp:positionH relativeFrom="column">
            <wp:align>center</wp:align>
          </wp:positionH>
          <wp:positionV relativeFrom="paragraph">
            <wp:posOffset>10795</wp:posOffset>
          </wp:positionV>
          <wp:extent cx="6742800" cy="1213200"/>
          <wp:effectExtent l="0" t="0" r="127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800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48D"/>
    <w:multiLevelType w:val="hybridMultilevel"/>
    <w:tmpl w:val="8EEE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D92"/>
    <w:multiLevelType w:val="multilevel"/>
    <w:tmpl w:val="064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752C"/>
    <w:multiLevelType w:val="multilevel"/>
    <w:tmpl w:val="95EE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54E0684"/>
    <w:multiLevelType w:val="multilevel"/>
    <w:tmpl w:val="9A82E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2F610E"/>
    <w:multiLevelType w:val="multilevel"/>
    <w:tmpl w:val="268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92FAF"/>
    <w:multiLevelType w:val="multilevel"/>
    <w:tmpl w:val="14683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0E3161"/>
    <w:multiLevelType w:val="hybridMultilevel"/>
    <w:tmpl w:val="ACB0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6876"/>
    <w:multiLevelType w:val="multilevel"/>
    <w:tmpl w:val="7B1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D13D8"/>
    <w:multiLevelType w:val="multilevel"/>
    <w:tmpl w:val="E7FC6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A50732"/>
    <w:multiLevelType w:val="multilevel"/>
    <w:tmpl w:val="5276E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A3A03"/>
    <w:multiLevelType w:val="multilevel"/>
    <w:tmpl w:val="6E2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53D7B"/>
    <w:multiLevelType w:val="multilevel"/>
    <w:tmpl w:val="C3147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3A46AA"/>
    <w:multiLevelType w:val="hybridMultilevel"/>
    <w:tmpl w:val="2FFC64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D01A4"/>
    <w:multiLevelType w:val="multilevel"/>
    <w:tmpl w:val="5B92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A2CFE"/>
    <w:multiLevelType w:val="multilevel"/>
    <w:tmpl w:val="89C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31A7B"/>
    <w:multiLevelType w:val="multilevel"/>
    <w:tmpl w:val="07966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9352C3F"/>
    <w:multiLevelType w:val="hybridMultilevel"/>
    <w:tmpl w:val="D542DAB0"/>
    <w:lvl w:ilvl="0" w:tplc="8898B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300EC"/>
    <w:multiLevelType w:val="multilevel"/>
    <w:tmpl w:val="F31E7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1127AA"/>
    <w:multiLevelType w:val="multilevel"/>
    <w:tmpl w:val="D9042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8503E4"/>
    <w:multiLevelType w:val="multilevel"/>
    <w:tmpl w:val="CCB0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3879505">
    <w:abstractNumId w:val="16"/>
  </w:num>
  <w:num w:numId="2" w16cid:durableId="747118191">
    <w:abstractNumId w:val="2"/>
  </w:num>
  <w:num w:numId="3" w16cid:durableId="795947535">
    <w:abstractNumId w:val="12"/>
  </w:num>
  <w:num w:numId="4" w16cid:durableId="489447574">
    <w:abstractNumId w:val="13"/>
  </w:num>
  <w:num w:numId="5" w16cid:durableId="671685052">
    <w:abstractNumId w:val="4"/>
  </w:num>
  <w:num w:numId="6" w16cid:durableId="782499924">
    <w:abstractNumId w:val="7"/>
  </w:num>
  <w:num w:numId="7" w16cid:durableId="634484770">
    <w:abstractNumId w:val="1"/>
  </w:num>
  <w:num w:numId="8" w16cid:durableId="1786728694">
    <w:abstractNumId w:val="10"/>
  </w:num>
  <w:num w:numId="9" w16cid:durableId="393547363">
    <w:abstractNumId w:val="14"/>
  </w:num>
  <w:num w:numId="10" w16cid:durableId="376511242">
    <w:abstractNumId w:val="6"/>
  </w:num>
  <w:num w:numId="11" w16cid:durableId="1740399572">
    <w:abstractNumId w:val="0"/>
  </w:num>
  <w:num w:numId="12" w16cid:durableId="1182743680">
    <w:abstractNumId w:val="3"/>
  </w:num>
  <w:num w:numId="13" w16cid:durableId="1229346271">
    <w:abstractNumId w:val="5"/>
  </w:num>
  <w:num w:numId="14" w16cid:durableId="756756835">
    <w:abstractNumId w:val="18"/>
  </w:num>
  <w:num w:numId="15" w16cid:durableId="1128864095">
    <w:abstractNumId w:val="15"/>
  </w:num>
  <w:num w:numId="16" w16cid:durableId="1457486867">
    <w:abstractNumId w:val="11"/>
  </w:num>
  <w:num w:numId="17" w16cid:durableId="495002437">
    <w:abstractNumId w:val="17"/>
  </w:num>
  <w:num w:numId="18" w16cid:durableId="1410541280">
    <w:abstractNumId w:val="19"/>
  </w:num>
  <w:num w:numId="19" w16cid:durableId="170265050">
    <w:abstractNumId w:val="9"/>
  </w:num>
  <w:num w:numId="20" w16cid:durableId="1357737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31"/>
    <w:rsid w:val="00012504"/>
    <w:rsid w:val="00094B21"/>
    <w:rsid w:val="000D0CBA"/>
    <w:rsid w:val="002445B1"/>
    <w:rsid w:val="00291CE3"/>
    <w:rsid w:val="002A0AD9"/>
    <w:rsid w:val="002D0AD0"/>
    <w:rsid w:val="00361318"/>
    <w:rsid w:val="00391522"/>
    <w:rsid w:val="003A36AB"/>
    <w:rsid w:val="003C26FC"/>
    <w:rsid w:val="004027F8"/>
    <w:rsid w:val="004A7AC0"/>
    <w:rsid w:val="004C55C0"/>
    <w:rsid w:val="004F0C60"/>
    <w:rsid w:val="00507C9E"/>
    <w:rsid w:val="00526F11"/>
    <w:rsid w:val="005314F2"/>
    <w:rsid w:val="0059636B"/>
    <w:rsid w:val="005C7CC7"/>
    <w:rsid w:val="006076E9"/>
    <w:rsid w:val="0061554A"/>
    <w:rsid w:val="00616E6C"/>
    <w:rsid w:val="00713000"/>
    <w:rsid w:val="007300B9"/>
    <w:rsid w:val="00746E38"/>
    <w:rsid w:val="00795A40"/>
    <w:rsid w:val="007A0F98"/>
    <w:rsid w:val="007D47FE"/>
    <w:rsid w:val="00800BA4"/>
    <w:rsid w:val="0084114A"/>
    <w:rsid w:val="008C671F"/>
    <w:rsid w:val="008C6DE3"/>
    <w:rsid w:val="00920438"/>
    <w:rsid w:val="009C3072"/>
    <w:rsid w:val="009C55D6"/>
    <w:rsid w:val="00B04EDC"/>
    <w:rsid w:val="00B06C3B"/>
    <w:rsid w:val="00B56761"/>
    <w:rsid w:val="00B5784C"/>
    <w:rsid w:val="00B62C41"/>
    <w:rsid w:val="00B65A6E"/>
    <w:rsid w:val="00B9589C"/>
    <w:rsid w:val="00CE288B"/>
    <w:rsid w:val="00D54603"/>
    <w:rsid w:val="00D83B0B"/>
    <w:rsid w:val="00DE4365"/>
    <w:rsid w:val="00DF3630"/>
    <w:rsid w:val="00DF61E9"/>
    <w:rsid w:val="00E72F34"/>
    <w:rsid w:val="00E77DDF"/>
    <w:rsid w:val="00EB0DFA"/>
    <w:rsid w:val="00F0126F"/>
    <w:rsid w:val="00F40685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DE8B"/>
  <w14:defaultImageDpi w14:val="32767"/>
  <w15:chartTrackingRefBased/>
  <w15:docId w15:val="{FF728276-8F61-4291-8E40-A3A47A54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072"/>
    <w:pPr>
      <w:spacing w:after="160" w:line="256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FA"/>
    <w:pPr>
      <w:keepNext/>
      <w:keepLines/>
      <w:spacing w:after="0" w:line="240" w:lineRule="auto"/>
      <w:outlineLvl w:val="0"/>
    </w:pPr>
    <w:rPr>
      <w:rFonts w:ascii="Arial" w:eastAsia="Arial" w:hAnsi="Arial" w:cs="Arial"/>
      <w:b/>
      <w:kern w:val="0"/>
      <w:sz w:val="32"/>
      <w:szCs w:val="32"/>
      <w:lang w:eastAsia="en-GB"/>
      <w14:ligatures w14:val="none"/>
    </w:rPr>
  </w:style>
  <w:style w:type="paragraph" w:styleId="Heading2">
    <w:name w:val="heading 2"/>
    <w:basedOn w:val="Heading20"/>
    <w:next w:val="Normal"/>
    <w:link w:val="Heading2Char"/>
    <w:uiPriority w:val="9"/>
    <w:unhideWhenUsed/>
    <w:qFormat/>
    <w:rsid w:val="00EB0DF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DFA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kern w:val="0"/>
      <w:sz w:val="28"/>
      <w:szCs w:val="28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DFA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kern w:val="0"/>
      <w:sz w:val="24"/>
      <w:szCs w:val="24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DFA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kern w:val="0"/>
      <w:lang w:eastAsia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DFA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D6"/>
  </w:style>
  <w:style w:type="paragraph" w:styleId="Footer">
    <w:name w:val="footer"/>
    <w:basedOn w:val="Normal"/>
    <w:link w:val="FooterChar"/>
    <w:uiPriority w:val="99"/>
    <w:unhideWhenUsed/>
    <w:rsid w:val="009C5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D6"/>
  </w:style>
  <w:style w:type="paragraph" w:styleId="ListParagraph">
    <w:name w:val="List Paragraph"/>
    <w:basedOn w:val="Normal"/>
    <w:uiPriority w:val="34"/>
    <w:qFormat/>
    <w:rsid w:val="00746E3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7300B9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7300B9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0B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customStyle="1" w:styleId="EWHeading2">
    <w:name w:val="EW Heading 2"/>
    <w:next w:val="Normal"/>
    <w:qFormat/>
    <w:rsid w:val="009C3072"/>
    <w:pPr>
      <w:keepNext/>
      <w:spacing w:before="200" w:after="200" w:line="276" w:lineRule="auto"/>
      <w:ind w:left="576" w:hanging="576"/>
    </w:pPr>
    <w:rPr>
      <w:rFonts w:eastAsiaTheme="majorEastAsia" w:cstheme="majorBidi"/>
      <w:b/>
      <w:bCs/>
      <w:sz w:val="30"/>
      <w:szCs w:val="26"/>
      <w:lang w:eastAsia="en-GB"/>
    </w:rPr>
  </w:style>
  <w:style w:type="paragraph" w:customStyle="1" w:styleId="EWBodyText">
    <w:name w:val="EW Body Text"/>
    <w:qFormat/>
    <w:rsid w:val="009C3072"/>
    <w:pPr>
      <w:spacing w:after="220"/>
      <w:ind w:left="720"/>
      <w:jc w:val="both"/>
    </w:pPr>
    <w:rPr>
      <w:rFonts w:ascii="Arial" w:eastAsiaTheme="minorEastAsia" w:hAnsi="Arial" w:cs="Arial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F61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6C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B0DFA"/>
    <w:rPr>
      <w:rFonts w:ascii="Arial" w:eastAsia="Arial" w:hAnsi="Arial" w:cs="Arial"/>
      <w:b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B0DFA"/>
    <w:rPr>
      <w:rFonts w:ascii="Arial" w:eastAsia="Calibri" w:hAnsi="Arial" w:cs="Arial"/>
      <w:b/>
      <w:bCs/>
      <w:color w:val="4472C4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DFA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DFA"/>
    <w:rPr>
      <w:rFonts w:ascii="Calibri" w:eastAsia="Calibri" w:hAnsi="Calibri" w:cs="Calibri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DFA"/>
    <w:rPr>
      <w:rFonts w:ascii="Calibri" w:eastAsia="Calibri" w:hAnsi="Calibri" w:cs="Calibri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DFA"/>
    <w:rPr>
      <w:rFonts w:ascii="Calibri" w:eastAsia="Calibri" w:hAnsi="Calibri" w:cs="Calibri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B0DFA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B0DFA"/>
    <w:rPr>
      <w:rFonts w:ascii="Calibri" w:eastAsia="Calibri" w:hAnsi="Calibri" w:cs="Calibri"/>
      <w:b/>
      <w:sz w:val="72"/>
      <w:szCs w:val="7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DF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B0DFA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EB0DF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DFA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0D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FA"/>
    <w:rPr>
      <w:rFonts w:ascii="Calibri" w:eastAsia="Calibri" w:hAnsi="Calibri" w:cs="Calibri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EB0DF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B0DFA"/>
    <w:rPr>
      <w:rFonts w:ascii="Calibri" w:eastAsia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EB0DFA"/>
    <w:rPr>
      <w:color w:val="605E5C"/>
      <w:shd w:val="clear" w:color="auto" w:fill="E1DFDD"/>
    </w:rPr>
  </w:style>
  <w:style w:type="paragraph" w:customStyle="1" w:styleId="Normal2">
    <w:name w:val="Normal2"/>
    <w:rsid w:val="00EB0DFA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EB0DFA"/>
  </w:style>
  <w:style w:type="character" w:styleId="FollowedHyperlink">
    <w:name w:val="FollowedHyperlink"/>
    <w:basedOn w:val="DefaultParagraphFont"/>
    <w:uiPriority w:val="99"/>
    <w:semiHidden/>
    <w:unhideWhenUsed/>
    <w:rsid w:val="00EB0DFA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EB0DFA"/>
    <w:rPr>
      <w:rFonts w:ascii="Calibri" w:eastAsia="Calibri" w:hAnsi="Calibri" w:cs="Calibri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B0DFA"/>
    <w:rPr>
      <w:rFonts w:ascii="Calibri" w:eastAsia="Calibri" w:hAnsi="Calibri" w:cs="Calibri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DFA"/>
    <w:rPr>
      <w:rFonts w:ascii="Arial" w:eastAsia="Calibri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DFA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DFA"/>
    <w:rPr>
      <w:rFonts w:ascii="Arial" w:eastAsia="Calibri" w:hAnsi="Arial" w:cs="Arial"/>
      <w:vanish/>
      <w:sz w:val="16"/>
      <w:szCs w:val="16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EB0D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B0DF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B0DFA"/>
    <w:pPr>
      <w:tabs>
        <w:tab w:val="right" w:leader="dot" w:pos="9016"/>
      </w:tabs>
      <w:spacing w:after="100" w:line="240" w:lineRule="auto"/>
    </w:pPr>
    <w:rPr>
      <w:rFonts w:ascii="Calibri" w:eastAsia="Calibri" w:hAnsi="Calibri" w:cs="Calibri"/>
      <w:noProof/>
      <w:kern w:val="0"/>
      <w:sz w:val="24"/>
      <w:szCs w:val="24"/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B0DFA"/>
    <w:pPr>
      <w:tabs>
        <w:tab w:val="right" w:leader="dot" w:pos="9016"/>
      </w:tabs>
      <w:spacing w:after="100" w:line="240" w:lineRule="auto"/>
      <w:ind w:left="240"/>
    </w:pPr>
    <w:rPr>
      <w:rFonts w:ascii="Calibri" w:eastAsia="Calibri" w:hAnsi="Calibri" w:cs="Calibri"/>
      <w:kern w:val="0"/>
      <w:sz w:val="24"/>
      <w:szCs w:val="24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B0DFA"/>
    <w:pPr>
      <w:spacing w:after="100" w:line="259" w:lineRule="auto"/>
      <w:ind w:left="440"/>
    </w:pPr>
    <w:rPr>
      <w:rFonts w:eastAsia="Calibri" w:cs="Times New Roman"/>
      <w:kern w:val="0"/>
      <w:lang w:eastAsia="en-GB"/>
      <w14:ligatures w14:val="none"/>
    </w:rPr>
  </w:style>
  <w:style w:type="paragraph" w:customStyle="1" w:styleId="Heading10">
    <w:name w:val="Heading_1"/>
    <w:basedOn w:val="Normal"/>
    <w:qFormat/>
    <w:rsid w:val="00EB0DFA"/>
    <w:pPr>
      <w:spacing w:after="0" w:line="240" w:lineRule="auto"/>
    </w:pPr>
    <w:rPr>
      <w:rFonts w:ascii="Arial" w:eastAsia="Calibri" w:hAnsi="Arial" w:cs="Arial"/>
      <w:b/>
      <w:color w:val="000000"/>
      <w:kern w:val="0"/>
      <w:sz w:val="32"/>
      <w:szCs w:val="32"/>
      <w:lang w:eastAsia="en-GB"/>
      <w14:ligatures w14:val="none"/>
    </w:rPr>
  </w:style>
  <w:style w:type="paragraph" w:customStyle="1" w:styleId="Heading20">
    <w:name w:val="Heading_2"/>
    <w:basedOn w:val="Normal"/>
    <w:qFormat/>
    <w:rsid w:val="00EB0D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Calibri" w:hAnsi="Arial" w:cs="Arial"/>
      <w:b/>
      <w:bCs/>
      <w:color w:val="4472C4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557">
              <w:blockQuote w:val="1"/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059">
              <w:blockQuote w:val="1"/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ngela%20Yates\Coloured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Coloured Headed Paper.dotx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Yates</dc:creator>
  <cp:keywords/>
  <dc:description/>
  <cp:lastModifiedBy>Angela Yates (St. Thomas - St Thomas Surgery)</cp:lastModifiedBy>
  <cp:revision>2</cp:revision>
  <cp:lastPrinted>2025-06-26T12:43:00Z</cp:lastPrinted>
  <dcterms:created xsi:type="dcterms:W3CDTF">2025-08-04T11:45:00Z</dcterms:created>
  <dcterms:modified xsi:type="dcterms:W3CDTF">2025-08-04T11:45:00Z</dcterms:modified>
</cp:coreProperties>
</file>